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F76" w:rsidRPr="004E5765" w:rsidRDefault="00383682" w:rsidP="00AD4BEC">
      <w:pPr>
        <w:bidi/>
        <w:jc w:val="center"/>
        <w:rPr>
          <w:b/>
          <w:bCs/>
          <w:sz w:val="24"/>
          <w:szCs w:val="24"/>
          <w:u w:val="single"/>
          <w:rtl/>
          <w:lang w:bidi="ar-AE"/>
        </w:rPr>
      </w:pPr>
      <w:r w:rsidRPr="004E5765">
        <w:rPr>
          <w:rFonts w:hint="cs"/>
          <w:b/>
          <w:bCs/>
          <w:sz w:val="24"/>
          <w:szCs w:val="24"/>
          <w:u w:val="single"/>
          <w:rtl/>
          <w:lang w:bidi="ar-AE"/>
        </w:rPr>
        <w:t>دليل وإرشادات تعبئة إقرار ضريبة الدخل الخاص بالموظفين</w:t>
      </w:r>
    </w:p>
    <w:p w:rsidR="004E34B0" w:rsidRDefault="00383682" w:rsidP="00AD4BEC">
      <w:pPr>
        <w:bidi/>
        <w:jc w:val="center"/>
        <w:rPr>
          <w:b/>
          <w:bCs/>
          <w:sz w:val="24"/>
          <w:szCs w:val="24"/>
          <w:u w:val="single"/>
          <w:rtl/>
          <w:lang w:bidi="ar-AE"/>
        </w:rPr>
      </w:pPr>
      <w:r w:rsidRPr="004E5765">
        <w:rPr>
          <w:rFonts w:hint="cs"/>
          <w:b/>
          <w:bCs/>
          <w:sz w:val="24"/>
          <w:szCs w:val="24"/>
          <w:u w:val="single"/>
          <w:rtl/>
          <w:lang w:bidi="ar-AE"/>
        </w:rPr>
        <w:t xml:space="preserve">للسنة </w:t>
      </w:r>
      <w:r w:rsidR="00F64F76" w:rsidRPr="004E5765">
        <w:rPr>
          <w:rFonts w:hint="cs"/>
          <w:b/>
          <w:bCs/>
          <w:sz w:val="24"/>
          <w:szCs w:val="24"/>
          <w:u w:val="single"/>
          <w:rtl/>
          <w:lang w:bidi="ar-AE"/>
        </w:rPr>
        <w:t>2020 وما بعدها</w:t>
      </w:r>
    </w:p>
    <w:p w:rsidR="004E5765" w:rsidRPr="004E5765" w:rsidRDefault="004E5765" w:rsidP="00AD4BEC">
      <w:pPr>
        <w:bidi/>
        <w:jc w:val="both"/>
        <w:rPr>
          <w:b/>
          <w:bCs/>
          <w:sz w:val="24"/>
          <w:szCs w:val="24"/>
          <w:u w:val="single"/>
          <w:rtl/>
          <w:lang w:bidi="ar-AE"/>
        </w:rPr>
      </w:pPr>
      <w:r w:rsidRPr="004E5765">
        <w:rPr>
          <w:rFonts w:hint="cs"/>
          <w:b/>
          <w:bCs/>
          <w:sz w:val="24"/>
          <w:szCs w:val="24"/>
          <w:highlight w:val="lightGray"/>
          <w:u w:val="single"/>
          <w:rtl/>
          <w:lang w:bidi="ar-AE"/>
        </w:rPr>
        <w:t>خطوات تعبئة الإقرار :-</w:t>
      </w:r>
    </w:p>
    <w:p w:rsidR="007F1A16" w:rsidRPr="004E5765" w:rsidRDefault="00383682" w:rsidP="00AD4BEC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lang w:bidi="ar-AE"/>
        </w:rPr>
      </w:pPr>
      <w:r w:rsidRPr="004E5765">
        <w:rPr>
          <w:rFonts w:hint="cs"/>
          <w:b/>
          <w:bCs/>
          <w:sz w:val="24"/>
          <w:szCs w:val="24"/>
          <w:rtl/>
          <w:lang w:bidi="ar-AE"/>
        </w:rPr>
        <w:t xml:space="preserve">البند </w:t>
      </w:r>
      <w:r w:rsidR="00D449D7" w:rsidRPr="004E5765">
        <w:rPr>
          <w:rFonts w:hint="cs"/>
          <w:b/>
          <w:bCs/>
          <w:sz w:val="24"/>
          <w:szCs w:val="24"/>
          <w:rtl/>
          <w:lang w:bidi="ar-AE"/>
        </w:rPr>
        <w:t xml:space="preserve">رقم </w:t>
      </w:r>
      <w:r w:rsidRPr="004E5765">
        <w:rPr>
          <w:rFonts w:hint="cs"/>
          <w:b/>
          <w:bCs/>
          <w:sz w:val="24"/>
          <w:szCs w:val="24"/>
          <w:rtl/>
          <w:lang w:bidi="ar-AE"/>
        </w:rPr>
        <w:t>(</w:t>
      </w:r>
      <w:r w:rsidR="007F1A16" w:rsidRPr="004E5765">
        <w:rPr>
          <w:rFonts w:hint="cs"/>
          <w:b/>
          <w:bCs/>
          <w:sz w:val="24"/>
          <w:szCs w:val="24"/>
          <w:rtl/>
          <w:lang w:bidi="ar-AE"/>
        </w:rPr>
        <w:t>3303</w:t>
      </w:r>
      <w:r w:rsidRPr="004E5765">
        <w:rPr>
          <w:rFonts w:hint="cs"/>
          <w:b/>
          <w:bCs/>
          <w:sz w:val="24"/>
          <w:szCs w:val="24"/>
          <w:rtl/>
          <w:lang w:bidi="ar-AE"/>
        </w:rPr>
        <w:t xml:space="preserve">) يمثل مجموع الرواتب والأجور والعلاوات والمزايا الأخرى والمكافآت بإستثناء مكافئة نهاية الخدمة </w:t>
      </w:r>
      <w:r w:rsidR="00C7423E" w:rsidRPr="004E5765">
        <w:rPr>
          <w:rFonts w:hint="cs"/>
          <w:b/>
          <w:bCs/>
          <w:sz w:val="24"/>
          <w:szCs w:val="24"/>
          <w:rtl/>
          <w:lang w:bidi="ar-AE"/>
        </w:rPr>
        <w:t>.</w:t>
      </w:r>
    </w:p>
    <w:p w:rsidR="00383682" w:rsidRPr="004E5765" w:rsidRDefault="00383682" w:rsidP="00AD4BEC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lang w:bidi="ar-AE"/>
        </w:rPr>
      </w:pPr>
      <w:r w:rsidRPr="004E5765">
        <w:rPr>
          <w:rFonts w:hint="cs"/>
          <w:b/>
          <w:bCs/>
          <w:sz w:val="24"/>
          <w:szCs w:val="24"/>
          <w:rtl/>
          <w:lang w:bidi="ar-AE"/>
        </w:rPr>
        <w:t xml:space="preserve">البند </w:t>
      </w:r>
      <w:r w:rsidR="00D449D7" w:rsidRPr="004E5765">
        <w:rPr>
          <w:rFonts w:hint="cs"/>
          <w:b/>
          <w:bCs/>
          <w:sz w:val="24"/>
          <w:szCs w:val="24"/>
          <w:rtl/>
          <w:lang w:bidi="ar-AE"/>
        </w:rPr>
        <w:t xml:space="preserve">رقم </w:t>
      </w:r>
      <w:r w:rsidRPr="004E5765">
        <w:rPr>
          <w:rFonts w:hint="cs"/>
          <w:b/>
          <w:bCs/>
          <w:sz w:val="24"/>
          <w:szCs w:val="24"/>
          <w:rtl/>
          <w:lang w:bidi="ar-AE"/>
        </w:rPr>
        <w:t>(</w:t>
      </w:r>
      <w:r w:rsidR="007F1A16" w:rsidRPr="004E5765">
        <w:rPr>
          <w:rFonts w:hint="cs"/>
          <w:b/>
          <w:bCs/>
          <w:sz w:val="24"/>
          <w:szCs w:val="24"/>
          <w:rtl/>
          <w:lang w:bidi="ar-AE"/>
        </w:rPr>
        <w:t>3305</w:t>
      </w:r>
      <w:r w:rsidRPr="004E5765">
        <w:rPr>
          <w:rFonts w:hint="cs"/>
          <w:b/>
          <w:bCs/>
          <w:sz w:val="24"/>
          <w:szCs w:val="24"/>
          <w:rtl/>
          <w:lang w:bidi="ar-AE"/>
        </w:rPr>
        <w:t>) يمثل مجموع الدخل السنوي من الراتب التقاعدي</w:t>
      </w:r>
      <w:r w:rsidR="00AF28EF" w:rsidRPr="004E5765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Pr="004E5765">
        <w:rPr>
          <w:rFonts w:hint="cs"/>
          <w:b/>
          <w:bCs/>
          <w:sz w:val="24"/>
          <w:szCs w:val="24"/>
          <w:rtl/>
          <w:lang w:bidi="ar-AE"/>
        </w:rPr>
        <w:t>الذي يزيد عن 2500 دينار شهري .</w:t>
      </w:r>
    </w:p>
    <w:p w:rsidR="007F1A16" w:rsidRPr="004E5765" w:rsidRDefault="00A270F2" w:rsidP="00AD4BEC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lang w:bidi="ar-AE"/>
        </w:rPr>
      </w:pPr>
      <w:r w:rsidRPr="004E5765">
        <w:rPr>
          <w:rFonts w:hint="cs"/>
          <w:b/>
          <w:bCs/>
          <w:sz w:val="24"/>
          <w:szCs w:val="24"/>
          <w:rtl/>
          <w:lang w:bidi="ar-AE"/>
        </w:rPr>
        <w:t>البند رقم (3307)</w:t>
      </w:r>
      <w:r w:rsidR="007F1A16" w:rsidRPr="004E5765">
        <w:rPr>
          <w:rFonts w:hint="cs"/>
          <w:b/>
          <w:bCs/>
          <w:sz w:val="24"/>
          <w:szCs w:val="24"/>
          <w:rtl/>
          <w:lang w:bidi="ar-AE"/>
        </w:rPr>
        <w:t xml:space="preserve"> يمثل </w:t>
      </w:r>
      <w:r w:rsidR="005E4942" w:rsidRPr="004E5765">
        <w:rPr>
          <w:rFonts w:hint="cs"/>
          <w:b/>
          <w:bCs/>
          <w:sz w:val="24"/>
          <w:szCs w:val="24"/>
          <w:rtl/>
          <w:lang w:bidi="ar-AE"/>
        </w:rPr>
        <w:t>إضافة إعفاء قيمته</w:t>
      </w:r>
      <w:r w:rsidR="007F1A16" w:rsidRPr="004E5765">
        <w:rPr>
          <w:rFonts w:hint="cs"/>
          <w:b/>
          <w:bCs/>
          <w:sz w:val="24"/>
          <w:szCs w:val="24"/>
          <w:rtl/>
          <w:lang w:bidi="ar-AE"/>
        </w:rPr>
        <w:t xml:space="preserve"> 2000 دينار عن كل شخص معال من ذوي الإعاقة الدائمة </w:t>
      </w:r>
      <w:r w:rsidR="004E5765" w:rsidRPr="004E5765">
        <w:rPr>
          <w:rFonts w:hint="cs"/>
          <w:b/>
          <w:bCs/>
          <w:sz w:val="24"/>
          <w:szCs w:val="24"/>
          <w:rtl/>
          <w:lang w:bidi="ar-AE"/>
        </w:rPr>
        <w:t xml:space="preserve">والمستمرة </w:t>
      </w:r>
      <w:r w:rsidR="007F1A16" w:rsidRPr="004E5765">
        <w:rPr>
          <w:rFonts w:hint="cs"/>
          <w:b/>
          <w:bCs/>
          <w:sz w:val="24"/>
          <w:szCs w:val="24"/>
          <w:rtl/>
          <w:lang w:bidi="ar-AE"/>
        </w:rPr>
        <w:t>شريطة إرفاق إثبات كتاب من المجلس الأعلى لحقوق الأشخاص ذوي الإعاقة .</w:t>
      </w:r>
    </w:p>
    <w:p w:rsidR="00383682" w:rsidRPr="004E5765" w:rsidRDefault="00383682" w:rsidP="00AD4BEC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lang w:bidi="ar-AE"/>
        </w:rPr>
      </w:pPr>
      <w:r w:rsidRPr="004E5765">
        <w:rPr>
          <w:rFonts w:hint="cs"/>
          <w:b/>
          <w:bCs/>
          <w:sz w:val="24"/>
          <w:szCs w:val="24"/>
          <w:rtl/>
          <w:lang w:bidi="ar-AE"/>
        </w:rPr>
        <w:t>الإعفاءات الشخصية والعائلية بحد أعلى 23000 دينار مفصلة كالآتي :-</w:t>
      </w:r>
    </w:p>
    <w:p w:rsidR="00383682" w:rsidRPr="004E5765" w:rsidRDefault="005E4942" w:rsidP="00AD4BEC">
      <w:pPr>
        <w:bidi/>
        <w:jc w:val="both"/>
        <w:rPr>
          <w:b/>
          <w:bCs/>
          <w:sz w:val="24"/>
          <w:szCs w:val="24"/>
          <w:rtl/>
          <w:lang w:bidi="ar-AE"/>
        </w:rPr>
      </w:pPr>
      <w:r w:rsidRPr="004E5765">
        <w:rPr>
          <w:rFonts w:hint="cs"/>
          <w:b/>
          <w:bCs/>
          <w:sz w:val="24"/>
          <w:szCs w:val="24"/>
          <w:rtl/>
          <w:lang w:bidi="ar-AE"/>
        </w:rPr>
        <w:t>1-</w:t>
      </w:r>
      <w:r w:rsidR="00383682" w:rsidRPr="004E5765">
        <w:rPr>
          <w:rFonts w:hint="cs"/>
          <w:b/>
          <w:bCs/>
          <w:sz w:val="24"/>
          <w:szCs w:val="24"/>
          <w:rtl/>
          <w:lang w:bidi="ar-AE"/>
        </w:rPr>
        <w:t xml:space="preserve">  </w:t>
      </w:r>
      <w:r w:rsidR="00D449D7" w:rsidRPr="004E5765">
        <w:rPr>
          <w:rFonts w:hint="cs"/>
          <w:b/>
          <w:bCs/>
          <w:sz w:val="24"/>
          <w:szCs w:val="24"/>
          <w:rtl/>
          <w:lang w:bidi="ar-AE"/>
        </w:rPr>
        <w:t>البند رقم (</w:t>
      </w:r>
      <w:r w:rsidRPr="004E5765">
        <w:rPr>
          <w:rFonts w:hint="cs"/>
          <w:b/>
          <w:bCs/>
          <w:sz w:val="24"/>
          <w:szCs w:val="24"/>
          <w:rtl/>
          <w:lang w:bidi="ar-AE"/>
        </w:rPr>
        <w:t xml:space="preserve"> 9027</w:t>
      </w:r>
      <w:r w:rsidR="00D449D7" w:rsidRPr="004E5765">
        <w:rPr>
          <w:rFonts w:hint="cs"/>
          <w:b/>
          <w:bCs/>
          <w:sz w:val="24"/>
          <w:szCs w:val="24"/>
          <w:rtl/>
          <w:lang w:bidi="ar-AE"/>
        </w:rPr>
        <w:t xml:space="preserve"> )</w:t>
      </w:r>
      <w:r w:rsidR="00383682" w:rsidRPr="004E5765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Pr="004E5765">
        <w:rPr>
          <w:rFonts w:hint="cs"/>
          <w:b/>
          <w:bCs/>
          <w:sz w:val="24"/>
          <w:szCs w:val="24"/>
          <w:rtl/>
          <w:lang w:bidi="ar-AE"/>
        </w:rPr>
        <w:t>يمثل</w:t>
      </w:r>
      <w:r w:rsidR="00383682" w:rsidRPr="004E5765">
        <w:rPr>
          <w:rFonts w:hint="cs"/>
          <w:b/>
          <w:bCs/>
          <w:sz w:val="24"/>
          <w:szCs w:val="24"/>
          <w:rtl/>
          <w:lang w:bidi="ar-AE"/>
        </w:rPr>
        <w:t xml:space="preserve"> إعفاء شخصي أو جزء منه وتمنح للمقيم </w:t>
      </w:r>
      <w:r w:rsidR="00D449D7" w:rsidRPr="004E5765">
        <w:rPr>
          <w:rFonts w:hint="cs"/>
          <w:b/>
          <w:bCs/>
          <w:sz w:val="24"/>
          <w:szCs w:val="24"/>
          <w:rtl/>
          <w:lang w:bidi="ar-AE"/>
        </w:rPr>
        <w:t xml:space="preserve">ومبلغها 9000 دينار </w:t>
      </w:r>
      <w:r w:rsidRPr="004E5765">
        <w:rPr>
          <w:rFonts w:hint="cs"/>
          <w:b/>
          <w:bCs/>
          <w:sz w:val="24"/>
          <w:szCs w:val="24"/>
          <w:rtl/>
          <w:lang w:bidi="ar-AE"/>
        </w:rPr>
        <w:t>.</w:t>
      </w:r>
    </w:p>
    <w:p w:rsidR="00D449D7" w:rsidRPr="004E5765" w:rsidRDefault="005E4942" w:rsidP="00AD4BEC">
      <w:pPr>
        <w:bidi/>
        <w:jc w:val="both"/>
        <w:rPr>
          <w:b/>
          <w:bCs/>
          <w:sz w:val="24"/>
          <w:szCs w:val="24"/>
          <w:rtl/>
          <w:lang w:bidi="ar-AE"/>
        </w:rPr>
      </w:pPr>
      <w:r w:rsidRPr="004E5765">
        <w:rPr>
          <w:rFonts w:hint="cs"/>
          <w:b/>
          <w:bCs/>
          <w:sz w:val="24"/>
          <w:szCs w:val="24"/>
          <w:rtl/>
          <w:lang w:bidi="ar-AE"/>
        </w:rPr>
        <w:t>2-</w:t>
      </w:r>
      <w:r w:rsidR="00383682" w:rsidRPr="004E5765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D449D7" w:rsidRPr="004E5765">
        <w:rPr>
          <w:rFonts w:hint="cs"/>
          <w:b/>
          <w:bCs/>
          <w:sz w:val="24"/>
          <w:szCs w:val="24"/>
          <w:rtl/>
          <w:lang w:bidi="ar-AE"/>
        </w:rPr>
        <w:t xml:space="preserve">البند رقم ( </w:t>
      </w:r>
      <w:r w:rsidRPr="004E5765">
        <w:rPr>
          <w:rFonts w:hint="cs"/>
          <w:b/>
          <w:bCs/>
          <w:sz w:val="24"/>
          <w:szCs w:val="24"/>
          <w:rtl/>
          <w:lang w:bidi="ar-AE"/>
        </w:rPr>
        <w:t xml:space="preserve">9028 </w:t>
      </w:r>
      <w:r w:rsidR="00D449D7" w:rsidRPr="004E5765">
        <w:rPr>
          <w:rFonts w:hint="cs"/>
          <w:b/>
          <w:bCs/>
          <w:sz w:val="24"/>
          <w:szCs w:val="24"/>
          <w:rtl/>
          <w:lang w:bidi="ar-AE"/>
        </w:rPr>
        <w:t>)</w:t>
      </w:r>
      <w:r w:rsidR="00383682" w:rsidRPr="004E5765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Pr="004E5765">
        <w:rPr>
          <w:rFonts w:hint="cs"/>
          <w:b/>
          <w:bCs/>
          <w:sz w:val="24"/>
          <w:szCs w:val="24"/>
          <w:rtl/>
          <w:lang w:bidi="ar-AE"/>
        </w:rPr>
        <w:t xml:space="preserve">يمثل </w:t>
      </w:r>
      <w:r w:rsidR="00383682" w:rsidRPr="004E5765">
        <w:rPr>
          <w:rFonts w:hint="cs"/>
          <w:b/>
          <w:bCs/>
          <w:sz w:val="24"/>
          <w:szCs w:val="24"/>
          <w:rtl/>
          <w:lang w:bidi="ar-AE"/>
        </w:rPr>
        <w:t xml:space="preserve">إعفاء المعالين أوجزء منه بحد أعلى 9000 دينار للمعالين </w:t>
      </w:r>
      <w:r w:rsidR="00D449D7" w:rsidRPr="004E5765">
        <w:rPr>
          <w:rFonts w:hint="cs"/>
          <w:b/>
          <w:bCs/>
          <w:sz w:val="24"/>
          <w:szCs w:val="24"/>
          <w:rtl/>
          <w:lang w:bidi="ar-AE"/>
        </w:rPr>
        <w:t>المقيمين .</w:t>
      </w:r>
    </w:p>
    <w:p w:rsidR="00B222A2" w:rsidRPr="004E5765" w:rsidRDefault="00B222A2" w:rsidP="00AD4BEC">
      <w:pPr>
        <w:bidi/>
        <w:jc w:val="both"/>
        <w:rPr>
          <w:b/>
          <w:bCs/>
          <w:sz w:val="24"/>
          <w:szCs w:val="24"/>
          <w:rtl/>
          <w:lang w:bidi="ar-AE"/>
        </w:rPr>
      </w:pPr>
      <w:r w:rsidRPr="004E5765">
        <w:rPr>
          <w:rFonts w:hint="cs"/>
          <w:b/>
          <w:bCs/>
          <w:sz w:val="24"/>
          <w:szCs w:val="24"/>
          <w:rtl/>
          <w:lang w:bidi="ar-AE"/>
        </w:rPr>
        <w:t>و</w:t>
      </w:r>
      <w:r w:rsidR="00D449D7" w:rsidRPr="004E5765">
        <w:rPr>
          <w:rFonts w:hint="cs"/>
          <w:b/>
          <w:bCs/>
          <w:sz w:val="24"/>
          <w:szCs w:val="24"/>
          <w:rtl/>
          <w:lang w:bidi="ar-AE"/>
        </w:rPr>
        <w:t xml:space="preserve">يتم </w:t>
      </w:r>
      <w:r w:rsidR="00543F85" w:rsidRPr="004E5765">
        <w:rPr>
          <w:rFonts w:hint="cs"/>
          <w:b/>
          <w:bCs/>
          <w:sz w:val="24"/>
          <w:szCs w:val="24"/>
          <w:rtl/>
          <w:lang w:bidi="ar-AE"/>
        </w:rPr>
        <w:t>ربط الإقامة مع</w:t>
      </w:r>
      <w:r w:rsidR="00D449D7" w:rsidRPr="004E5765">
        <w:rPr>
          <w:rFonts w:hint="cs"/>
          <w:b/>
          <w:bCs/>
          <w:sz w:val="24"/>
          <w:szCs w:val="24"/>
          <w:rtl/>
          <w:lang w:bidi="ar-AE"/>
        </w:rPr>
        <w:t xml:space="preserve"> إعفاء الإعالة وفق الجدول التالي :-</w:t>
      </w:r>
    </w:p>
    <w:tbl>
      <w:tblPr>
        <w:tblStyle w:val="TableGrid"/>
        <w:bidiVisual/>
        <w:tblW w:w="0" w:type="auto"/>
        <w:tblInd w:w="719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449D7" w:rsidRPr="004E5765" w:rsidTr="00AF28EF">
        <w:tc>
          <w:tcPr>
            <w:tcW w:w="3116" w:type="dxa"/>
          </w:tcPr>
          <w:p w:rsidR="00D449D7" w:rsidRPr="004E5765" w:rsidRDefault="00D449D7" w:rsidP="00AD4BEC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004E5765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البيان</w:t>
            </w:r>
          </w:p>
        </w:tc>
        <w:tc>
          <w:tcPr>
            <w:tcW w:w="3117" w:type="dxa"/>
          </w:tcPr>
          <w:p w:rsidR="00D449D7" w:rsidRPr="004E5765" w:rsidRDefault="00D449D7" w:rsidP="00AD4BEC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004E5765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معالين مقيمين</w:t>
            </w:r>
          </w:p>
        </w:tc>
        <w:tc>
          <w:tcPr>
            <w:tcW w:w="3117" w:type="dxa"/>
          </w:tcPr>
          <w:p w:rsidR="00D449D7" w:rsidRPr="004E5765" w:rsidRDefault="00D449D7" w:rsidP="00AD4BEC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004E5765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معالين غير مقيمين</w:t>
            </w:r>
          </w:p>
        </w:tc>
      </w:tr>
      <w:tr w:rsidR="00D449D7" w:rsidRPr="004E5765" w:rsidTr="00AF28EF">
        <w:tc>
          <w:tcPr>
            <w:tcW w:w="3116" w:type="dxa"/>
          </w:tcPr>
          <w:p w:rsidR="00D449D7" w:rsidRPr="004E5765" w:rsidRDefault="00D449D7" w:rsidP="00AD4BEC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004E5765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أردني مقيم</w:t>
            </w:r>
          </w:p>
        </w:tc>
        <w:tc>
          <w:tcPr>
            <w:tcW w:w="3117" w:type="dxa"/>
          </w:tcPr>
          <w:p w:rsidR="00D449D7" w:rsidRPr="004E5765" w:rsidRDefault="00D449D7" w:rsidP="00AD4BEC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004E5765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يمنح الإعفاء</w:t>
            </w:r>
          </w:p>
        </w:tc>
        <w:tc>
          <w:tcPr>
            <w:tcW w:w="3117" w:type="dxa"/>
          </w:tcPr>
          <w:p w:rsidR="00D449D7" w:rsidRPr="004E5765" w:rsidRDefault="00D449D7" w:rsidP="00AD4BEC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004E5765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يمنح الإعفاء</w:t>
            </w:r>
          </w:p>
        </w:tc>
      </w:tr>
      <w:tr w:rsidR="00D449D7" w:rsidRPr="004E5765" w:rsidTr="00AF28EF">
        <w:tc>
          <w:tcPr>
            <w:tcW w:w="3116" w:type="dxa"/>
          </w:tcPr>
          <w:p w:rsidR="00D449D7" w:rsidRPr="004E5765" w:rsidRDefault="00D449D7" w:rsidP="00AD4BEC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004E5765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أردني غير مقيم</w:t>
            </w:r>
          </w:p>
        </w:tc>
        <w:tc>
          <w:tcPr>
            <w:tcW w:w="3117" w:type="dxa"/>
          </w:tcPr>
          <w:p w:rsidR="00D449D7" w:rsidRPr="004E5765" w:rsidRDefault="00D449D7" w:rsidP="00AD4BEC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004E5765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يمنح الإعفاء</w:t>
            </w:r>
          </w:p>
        </w:tc>
        <w:tc>
          <w:tcPr>
            <w:tcW w:w="3117" w:type="dxa"/>
          </w:tcPr>
          <w:p w:rsidR="00D449D7" w:rsidRPr="004E5765" w:rsidRDefault="00D449D7" w:rsidP="00AD4BEC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004E5765">
              <w:rPr>
                <w:rFonts w:hint="cs"/>
                <w:b/>
                <w:bCs/>
                <w:sz w:val="24"/>
                <w:szCs w:val="24"/>
                <w:highlight w:val="lightGray"/>
                <w:rtl/>
                <w:lang w:bidi="ar-AE"/>
              </w:rPr>
              <w:t>لا</w:t>
            </w:r>
            <w:r w:rsidRPr="004E5765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يمنح الإعفاء</w:t>
            </w:r>
          </w:p>
        </w:tc>
      </w:tr>
      <w:tr w:rsidR="00D449D7" w:rsidRPr="004E5765" w:rsidTr="00AF28EF">
        <w:tc>
          <w:tcPr>
            <w:tcW w:w="3116" w:type="dxa"/>
          </w:tcPr>
          <w:p w:rsidR="00D449D7" w:rsidRPr="004E5765" w:rsidRDefault="00D449D7" w:rsidP="00AD4BEC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004E5765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غير أردني مقيم</w:t>
            </w:r>
          </w:p>
        </w:tc>
        <w:tc>
          <w:tcPr>
            <w:tcW w:w="3117" w:type="dxa"/>
          </w:tcPr>
          <w:p w:rsidR="00D449D7" w:rsidRPr="004E5765" w:rsidRDefault="00D449D7" w:rsidP="00AD4BEC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004E5765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يمنح الإعفاء</w:t>
            </w:r>
          </w:p>
        </w:tc>
        <w:tc>
          <w:tcPr>
            <w:tcW w:w="3117" w:type="dxa"/>
          </w:tcPr>
          <w:p w:rsidR="00D449D7" w:rsidRPr="004E5765" w:rsidRDefault="00D449D7" w:rsidP="00AD4BEC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004E5765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يمنح الإعفاء</w:t>
            </w:r>
          </w:p>
        </w:tc>
      </w:tr>
      <w:tr w:rsidR="00D449D7" w:rsidRPr="004E5765" w:rsidTr="00AF28EF">
        <w:tc>
          <w:tcPr>
            <w:tcW w:w="3116" w:type="dxa"/>
          </w:tcPr>
          <w:p w:rsidR="00D449D7" w:rsidRPr="004E5765" w:rsidRDefault="00D449D7" w:rsidP="00AD4BEC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004E5765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غير أردني غير مقيم</w:t>
            </w:r>
          </w:p>
        </w:tc>
        <w:tc>
          <w:tcPr>
            <w:tcW w:w="3117" w:type="dxa"/>
          </w:tcPr>
          <w:p w:rsidR="00D449D7" w:rsidRPr="004E5765" w:rsidRDefault="00D449D7" w:rsidP="00AD4BEC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004E5765">
              <w:rPr>
                <w:rFonts w:hint="cs"/>
                <w:b/>
                <w:bCs/>
                <w:sz w:val="24"/>
                <w:szCs w:val="24"/>
                <w:highlight w:val="lightGray"/>
                <w:rtl/>
                <w:lang w:bidi="ar-AE"/>
              </w:rPr>
              <w:t>لا</w:t>
            </w:r>
            <w:r w:rsidRPr="004E5765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يمنح الإعفاء</w:t>
            </w:r>
          </w:p>
        </w:tc>
        <w:tc>
          <w:tcPr>
            <w:tcW w:w="3117" w:type="dxa"/>
          </w:tcPr>
          <w:p w:rsidR="00D449D7" w:rsidRPr="004E5765" w:rsidRDefault="00D449D7" w:rsidP="00AD4BEC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004E5765">
              <w:rPr>
                <w:rFonts w:hint="cs"/>
                <w:b/>
                <w:bCs/>
                <w:sz w:val="24"/>
                <w:szCs w:val="24"/>
                <w:highlight w:val="lightGray"/>
                <w:rtl/>
                <w:lang w:bidi="ar-AE"/>
              </w:rPr>
              <w:t>لا</w:t>
            </w:r>
            <w:r w:rsidRPr="004E5765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يمنح الإعفاء</w:t>
            </w:r>
          </w:p>
        </w:tc>
      </w:tr>
    </w:tbl>
    <w:p w:rsidR="00C76191" w:rsidRPr="00C76191" w:rsidRDefault="00C76191" w:rsidP="00C76191">
      <w:pPr>
        <w:bidi/>
        <w:jc w:val="both"/>
        <w:rPr>
          <w:b/>
          <w:bCs/>
          <w:sz w:val="10"/>
          <w:szCs w:val="10"/>
          <w:rtl/>
          <w:lang w:bidi="ar-AE"/>
        </w:rPr>
      </w:pPr>
    </w:p>
    <w:p w:rsidR="005A44C9" w:rsidRPr="004E5765" w:rsidRDefault="00C76191" w:rsidP="00C76191">
      <w:pPr>
        <w:bidi/>
        <w:jc w:val="both"/>
        <w:rPr>
          <w:b/>
          <w:bCs/>
          <w:sz w:val="24"/>
          <w:szCs w:val="24"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>3</w:t>
      </w:r>
      <w:r w:rsidR="005E4942" w:rsidRPr="004E5765">
        <w:rPr>
          <w:rFonts w:hint="cs"/>
          <w:b/>
          <w:bCs/>
          <w:sz w:val="24"/>
          <w:szCs w:val="24"/>
          <w:rtl/>
          <w:lang w:bidi="ar-AE"/>
        </w:rPr>
        <w:t xml:space="preserve">- </w:t>
      </w:r>
      <w:r w:rsidR="00D449D7" w:rsidRPr="004E5765">
        <w:rPr>
          <w:rFonts w:hint="cs"/>
          <w:b/>
          <w:bCs/>
          <w:sz w:val="24"/>
          <w:szCs w:val="24"/>
          <w:rtl/>
          <w:lang w:bidi="ar-AE"/>
        </w:rPr>
        <w:t>البند رقم (</w:t>
      </w:r>
      <w:r w:rsidR="00784AEF" w:rsidRPr="004E5765">
        <w:rPr>
          <w:rFonts w:hint="cs"/>
          <w:b/>
          <w:bCs/>
          <w:sz w:val="24"/>
          <w:szCs w:val="24"/>
          <w:rtl/>
          <w:lang w:bidi="ar-AE"/>
        </w:rPr>
        <w:t xml:space="preserve"> 9029</w:t>
      </w:r>
      <w:r w:rsidR="00D449D7" w:rsidRPr="004E5765">
        <w:rPr>
          <w:rFonts w:hint="cs"/>
          <w:b/>
          <w:bCs/>
          <w:sz w:val="24"/>
          <w:szCs w:val="24"/>
          <w:rtl/>
          <w:lang w:bidi="ar-AE"/>
        </w:rPr>
        <w:t xml:space="preserve"> ) </w:t>
      </w:r>
      <w:r w:rsidR="00D52790" w:rsidRPr="004E5765">
        <w:rPr>
          <w:rFonts w:hint="cs"/>
          <w:b/>
          <w:bCs/>
          <w:sz w:val="24"/>
          <w:szCs w:val="24"/>
          <w:rtl/>
          <w:lang w:bidi="ar-AE"/>
        </w:rPr>
        <w:t xml:space="preserve">يمثل الإعفاءات الأخرى أو جزء منها </w:t>
      </w:r>
      <w:r w:rsidR="00543F85" w:rsidRPr="004E5765">
        <w:rPr>
          <w:rFonts w:hint="cs"/>
          <w:b/>
          <w:bCs/>
          <w:sz w:val="24"/>
          <w:szCs w:val="24"/>
          <w:rtl/>
          <w:lang w:bidi="ar-AE"/>
        </w:rPr>
        <w:t xml:space="preserve">بحد أعلى 1000 دينار لكل إبن وبحد أقصى 3000 دينار لثلاثة أبناء فقط </w:t>
      </w:r>
      <w:r w:rsidR="005A44C9" w:rsidRPr="004E5765">
        <w:rPr>
          <w:rFonts w:hint="cs"/>
          <w:b/>
          <w:bCs/>
          <w:sz w:val="24"/>
          <w:szCs w:val="24"/>
          <w:rtl/>
          <w:lang w:bidi="ar-AE"/>
        </w:rPr>
        <w:t xml:space="preserve">وإعفاء مبلغ 2000 دينار لكل زوج 1000 دينار </w:t>
      </w:r>
      <w:r w:rsidR="00543F85" w:rsidRPr="004E5765">
        <w:rPr>
          <w:rFonts w:hint="cs"/>
          <w:b/>
          <w:bCs/>
          <w:sz w:val="24"/>
          <w:szCs w:val="24"/>
          <w:rtl/>
          <w:lang w:bidi="ar-AE"/>
        </w:rPr>
        <w:t>تتضمن (العلاج /</w:t>
      </w:r>
      <w:r w:rsidR="005A44C9" w:rsidRPr="004E5765">
        <w:rPr>
          <w:rFonts w:hint="cs"/>
          <w:b/>
          <w:bCs/>
          <w:sz w:val="24"/>
          <w:szCs w:val="24"/>
          <w:rtl/>
          <w:lang w:bidi="ar-AE"/>
        </w:rPr>
        <w:t xml:space="preserve"> و</w:t>
      </w:r>
      <w:r w:rsidR="00543F85" w:rsidRPr="004E5765">
        <w:rPr>
          <w:rFonts w:hint="cs"/>
          <w:b/>
          <w:bCs/>
          <w:sz w:val="24"/>
          <w:szCs w:val="24"/>
          <w:rtl/>
          <w:lang w:bidi="ar-AE"/>
        </w:rPr>
        <w:t>التعليم /</w:t>
      </w:r>
      <w:r w:rsidR="005A44C9" w:rsidRPr="004E5765">
        <w:rPr>
          <w:rFonts w:hint="cs"/>
          <w:b/>
          <w:bCs/>
          <w:sz w:val="24"/>
          <w:szCs w:val="24"/>
          <w:rtl/>
          <w:lang w:bidi="ar-AE"/>
        </w:rPr>
        <w:t xml:space="preserve"> و</w:t>
      </w:r>
      <w:r w:rsidR="00543F85" w:rsidRPr="004E5765">
        <w:rPr>
          <w:rFonts w:hint="cs"/>
          <w:b/>
          <w:bCs/>
          <w:sz w:val="24"/>
          <w:szCs w:val="24"/>
          <w:rtl/>
          <w:lang w:bidi="ar-AE"/>
        </w:rPr>
        <w:t>الإيجار /</w:t>
      </w:r>
      <w:r w:rsidR="005A44C9" w:rsidRPr="004E5765">
        <w:rPr>
          <w:rFonts w:hint="cs"/>
          <w:b/>
          <w:bCs/>
          <w:sz w:val="24"/>
          <w:szCs w:val="24"/>
          <w:rtl/>
          <w:lang w:bidi="ar-AE"/>
        </w:rPr>
        <w:t xml:space="preserve"> و</w:t>
      </w:r>
      <w:r w:rsidR="00543F85" w:rsidRPr="004E5765">
        <w:rPr>
          <w:rFonts w:hint="cs"/>
          <w:b/>
          <w:bCs/>
          <w:sz w:val="24"/>
          <w:szCs w:val="24"/>
          <w:rtl/>
          <w:lang w:bidi="ar-AE"/>
        </w:rPr>
        <w:t>فوائد قروض الإسكان ومرابحتها /</w:t>
      </w:r>
      <w:r w:rsidR="005A44C9" w:rsidRPr="004E5765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543F85" w:rsidRPr="004E5765">
        <w:rPr>
          <w:rFonts w:hint="cs"/>
          <w:b/>
          <w:bCs/>
          <w:sz w:val="24"/>
          <w:szCs w:val="24"/>
          <w:rtl/>
          <w:lang w:bidi="ar-AE"/>
        </w:rPr>
        <w:t>ونفقات الإستشفاء)</w:t>
      </w:r>
      <w:r w:rsidR="002C5B10" w:rsidRPr="004E5765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5A44C9" w:rsidRPr="004E5765">
        <w:rPr>
          <w:rFonts w:hint="cs"/>
          <w:b/>
          <w:bCs/>
          <w:sz w:val="24"/>
          <w:szCs w:val="24"/>
          <w:rtl/>
          <w:lang w:bidi="ar-AE"/>
        </w:rPr>
        <w:t xml:space="preserve">معززة بإثباتات </w:t>
      </w:r>
      <w:r w:rsidR="00543F85" w:rsidRPr="004E5765">
        <w:rPr>
          <w:rFonts w:hint="cs"/>
          <w:b/>
          <w:bCs/>
          <w:sz w:val="24"/>
          <w:szCs w:val="24"/>
          <w:rtl/>
          <w:lang w:bidi="ar-AE"/>
        </w:rPr>
        <w:t>.</w:t>
      </w:r>
    </w:p>
    <w:p w:rsidR="00543F85" w:rsidRPr="004E5765" w:rsidRDefault="00BC449C" w:rsidP="00AD4BEC">
      <w:pPr>
        <w:pStyle w:val="ListParagraph"/>
        <w:numPr>
          <w:ilvl w:val="0"/>
          <w:numId w:val="2"/>
        </w:numPr>
        <w:bidi/>
        <w:jc w:val="both"/>
        <w:rPr>
          <w:b/>
          <w:bCs/>
          <w:sz w:val="24"/>
          <w:szCs w:val="24"/>
          <w:lang w:bidi="ar-AE"/>
        </w:rPr>
      </w:pPr>
      <w:r w:rsidRPr="004E5765">
        <w:rPr>
          <w:rFonts w:hint="cs"/>
          <w:b/>
          <w:bCs/>
          <w:sz w:val="24"/>
          <w:szCs w:val="24"/>
          <w:rtl/>
          <w:lang w:bidi="ar-AE"/>
        </w:rPr>
        <w:t>البند رقم (</w:t>
      </w:r>
      <w:r w:rsidR="00236CC9" w:rsidRPr="004E5765">
        <w:rPr>
          <w:rFonts w:hint="cs"/>
          <w:b/>
          <w:bCs/>
          <w:sz w:val="24"/>
          <w:szCs w:val="24"/>
          <w:rtl/>
          <w:lang w:bidi="ar-AE"/>
        </w:rPr>
        <w:t xml:space="preserve"> 993105</w:t>
      </w:r>
      <w:r w:rsidRPr="004E5765">
        <w:rPr>
          <w:rFonts w:hint="cs"/>
          <w:b/>
          <w:bCs/>
          <w:sz w:val="24"/>
          <w:szCs w:val="24"/>
          <w:rtl/>
          <w:lang w:bidi="ar-AE"/>
        </w:rPr>
        <w:t xml:space="preserve"> ) يمثل التبرعات المدفوعة للدوائر الحكومية والمؤسسات الرسمية أو العامة أو البلديات </w:t>
      </w:r>
      <w:r w:rsidR="004E5765" w:rsidRPr="004E5765">
        <w:rPr>
          <w:rFonts w:hint="cs"/>
          <w:b/>
          <w:bCs/>
          <w:sz w:val="24"/>
          <w:szCs w:val="24"/>
          <w:rtl/>
          <w:lang w:bidi="ar-AE"/>
        </w:rPr>
        <w:t xml:space="preserve">معززة بإثباتات </w:t>
      </w:r>
      <w:r w:rsidRPr="004E5765">
        <w:rPr>
          <w:rFonts w:hint="cs"/>
          <w:b/>
          <w:bCs/>
          <w:sz w:val="24"/>
          <w:szCs w:val="24"/>
          <w:rtl/>
          <w:lang w:bidi="ar-AE"/>
        </w:rPr>
        <w:t>.</w:t>
      </w:r>
    </w:p>
    <w:p w:rsidR="00BC449C" w:rsidRPr="004E5765" w:rsidRDefault="00BC449C" w:rsidP="00AD4BEC">
      <w:pPr>
        <w:pStyle w:val="ListParagraph"/>
        <w:numPr>
          <w:ilvl w:val="0"/>
          <w:numId w:val="2"/>
        </w:numPr>
        <w:bidi/>
        <w:jc w:val="both"/>
        <w:rPr>
          <w:b/>
          <w:bCs/>
          <w:sz w:val="24"/>
          <w:szCs w:val="24"/>
          <w:lang w:bidi="ar-AE"/>
        </w:rPr>
      </w:pPr>
      <w:r w:rsidRPr="004E5765">
        <w:rPr>
          <w:rFonts w:hint="cs"/>
          <w:b/>
          <w:bCs/>
          <w:sz w:val="24"/>
          <w:szCs w:val="24"/>
          <w:rtl/>
          <w:lang w:bidi="ar-AE"/>
        </w:rPr>
        <w:t>البند رقم (</w:t>
      </w:r>
      <w:r w:rsidR="00236CC9" w:rsidRPr="004E5765">
        <w:rPr>
          <w:rFonts w:hint="cs"/>
          <w:b/>
          <w:bCs/>
          <w:sz w:val="24"/>
          <w:szCs w:val="24"/>
          <w:rtl/>
          <w:lang w:bidi="ar-AE"/>
        </w:rPr>
        <w:t xml:space="preserve"> 991201</w:t>
      </w:r>
      <w:r w:rsidRPr="004E5765">
        <w:rPr>
          <w:rFonts w:hint="cs"/>
          <w:b/>
          <w:bCs/>
          <w:sz w:val="24"/>
          <w:szCs w:val="24"/>
          <w:rtl/>
          <w:lang w:bidi="ar-AE"/>
        </w:rPr>
        <w:t xml:space="preserve"> ) يمثل التبرعات والإشتراكات المدفوعة في المملكة لجهات غير حكومية والموافق عليها من قبل مجلس الوزراء على أن لاتتجاوز 25% من الدخل الخاضع </w:t>
      </w:r>
      <w:r w:rsidR="004E5765" w:rsidRPr="004E5765">
        <w:rPr>
          <w:rFonts w:hint="cs"/>
          <w:b/>
          <w:bCs/>
          <w:sz w:val="24"/>
          <w:szCs w:val="24"/>
          <w:rtl/>
          <w:lang w:bidi="ar-AE"/>
        </w:rPr>
        <w:t xml:space="preserve">معززة بإثباتات </w:t>
      </w:r>
      <w:r w:rsidRPr="004E5765">
        <w:rPr>
          <w:rFonts w:hint="cs"/>
          <w:b/>
          <w:bCs/>
          <w:sz w:val="24"/>
          <w:szCs w:val="24"/>
          <w:rtl/>
          <w:lang w:bidi="ar-AE"/>
        </w:rPr>
        <w:t>.</w:t>
      </w:r>
    </w:p>
    <w:p w:rsidR="00236CC9" w:rsidRPr="004E5765" w:rsidRDefault="007D60E5" w:rsidP="00AD4BEC">
      <w:pPr>
        <w:pStyle w:val="ListParagraph"/>
        <w:numPr>
          <w:ilvl w:val="0"/>
          <w:numId w:val="2"/>
        </w:numPr>
        <w:bidi/>
        <w:jc w:val="both"/>
        <w:rPr>
          <w:b/>
          <w:bCs/>
          <w:sz w:val="24"/>
          <w:szCs w:val="24"/>
          <w:lang w:bidi="ar-AE"/>
        </w:rPr>
      </w:pPr>
      <w:r w:rsidRPr="004E5765">
        <w:rPr>
          <w:rFonts w:hint="cs"/>
          <w:b/>
          <w:bCs/>
          <w:sz w:val="24"/>
          <w:szCs w:val="24"/>
          <w:rtl/>
          <w:lang w:bidi="ar-AE"/>
        </w:rPr>
        <w:t xml:space="preserve">البند رقم ( </w:t>
      </w:r>
      <w:r w:rsidRPr="004E5765">
        <w:rPr>
          <w:b/>
          <w:bCs/>
          <w:sz w:val="24"/>
          <w:szCs w:val="24"/>
          <w:lang w:bidi="ar-AE"/>
        </w:rPr>
        <w:t>995201</w:t>
      </w:r>
      <w:r w:rsidRPr="004E5765">
        <w:rPr>
          <w:rFonts w:hint="cs"/>
          <w:b/>
          <w:bCs/>
          <w:sz w:val="24"/>
          <w:szCs w:val="24"/>
          <w:rtl/>
          <w:lang w:bidi="ar-AE"/>
        </w:rPr>
        <w:t xml:space="preserve"> ) يمثل تقاص ضريبة الدخل المقتطعه من الأجور والعلاوات .</w:t>
      </w:r>
    </w:p>
    <w:p w:rsidR="007D60E5" w:rsidRPr="004E5765" w:rsidRDefault="007D60E5" w:rsidP="00AD4BEC">
      <w:pPr>
        <w:pStyle w:val="ListParagraph"/>
        <w:numPr>
          <w:ilvl w:val="0"/>
          <w:numId w:val="2"/>
        </w:numPr>
        <w:bidi/>
        <w:jc w:val="both"/>
        <w:rPr>
          <w:b/>
          <w:bCs/>
          <w:sz w:val="24"/>
          <w:szCs w:val="24"/>
          <w:lang w:bidi="ar-AE"/>
        </w:rPr>
      </w:pPr>
      <w:r w:rsidRPr="004E5765">
        <w:rPr>
          <w:rFonts w:hint="cs"/>
          <w:b/>
          <w:bCs/>
          <w:sz w:val="24"/>
          <w:szCs w:val="24"/>
          <w:rtl/>
          <w:lang w:bidi="ar-AE"/>
        </w:rPr>
        <w:t xml:space="preserve">البند رقم ( </w:t>
      </w:r>
      <w:r w:rsidRPr="004E5765">
        <w:rPr>
          <w:b/>
          <w:bCs/>
          <w:sz w:val="24"/>
          <w:szCs w:val="24"/>
          <w:lang w:bidi="ar-AE"/>
        </w:rPr>
        <w:t>995211</w:t>
      </w:r>
      <w:r w:rsidRPr="004E5765">
        <w:rPr>
          <w:rFonts w:hint="cs"/>
          <w:b/>
          <w:bCs/>
          <w:sz w:val="24"/>
          <w:szCs w:val="24"/>
          <w:rtl/>
          <w:lang w:bidi="ar-AE"/>
        </w:rPr>
        <w:t xml:space="preserve"> ) يمثل الضريبة المدفوعه للجمارك </w:t>
      </w:r>
      <w:r w:rsidR="004E5765" w:rsidRPr="004E5765">
        <w:rPr>
          <w:rFonts w:hint="cs"/>
          <w:b/>
          <w:bCs/>
          <w:sz w:val="24"/>
          <w:szCs w:val="24"/>
          <w:rtl/>
          <w:lang w:bidi="ar-AE"/>
        </w:rPr>
        <w:t>ببند رسوم عامة على البيان تم دفعها عن سيارة مستوردة من قبل الموظف لإستخدامه الشخصي ولاتزال بحوزته بعد</w:t>
      </w:r>
      <w:r w:rsidRPr="004E5765">
        <w:rPr>
          <w:rFonts w:hint="cs"/>
          <w:b/>
          <w:bCs/>
          <w:sz w:val="24"/>
          <w:szCs w:val="24"/>
          <w:rtl/>
          <w:lang w:bidi="ar-AE"/>
        </w:rPr>
        <w:t xml:space="preserve"> خصم مبلغ عشرة دنانير </w:t>
      </w:r>
      <w:r w:rsidR="004E5765" w:rsidRPr="004E5765">
        <w:rPr>
          <w:rFonts w:hint="cs"/>
          <w:b/>
          <w:bCs/>
          <w:sz w:val="24"/>
          <w:szCs w:val="24"/>
          <w:rtl/>
          <w:lang w:bidi="ar-AE"/>
        </w:rPr>
        <w:t xml:space="preserve">من قيمة الإقتطاع معززة بالبيان الجمركي وصورة حديثة عن رخصة السيارة </w:t>
      </w:r>
      <w:r w:rsidRPr="004E5765">
        <w:rPr>
          <w:rFonts w:hint="cs"/>
          <w:b/>
          <w:bCs/>
          <w:sz w:val="24"/>
          <w:szCs w:val="24"/>
          <w:rtl/>
          <w:lang w:bidi="ar-AE"/>
        </w:rPr>
        <w:t>.</w:t>
      </w:r>
    </w:p>
    <w:p w:rsidR="007D60E5" w:rsidRPr="004E5765" w:rsidRDefault="007D60E5" w:rsidP="00AD4BEC">
      <w:pPr>
        <w:pStyle w:val="ListParagraph"/>
        <w:numPr>
          <w:ilvl w:val="0"/>
          <w:numId w:val="2"/>
        </w:numPr>
        <w:bidi/>
        <w:jc w:val="both"/>
        <w:rPr>
          <w:b/>
          <w:bCs/>
          <w:sz w:val="24"/>
          <w:szCs w:val="24"/>
          <w:lang w:bidi="ar-AE"/>
        </w:rPr>
      </w:pPr>
      <w:r w:rsidRPr="004E5765">
        <w:rPr>
          <w:rFonts w:hint="cs"/>
          <w:b/>
          <w:bCs/>
          <w:sz w:val="24"/>
          <w:szCs w:val="24"/>
          <w:rtl/>
          <w:lang w:bidi="ar-AE"/>
        </w:rPr>
        <w:t>البند رقم ( 99171 ) يمثل إجمالي مكافأة نهاية الخدمة .</w:t>
      </w:r>
    </w:p>
    <w:p w:rsidR="00F62F90" w:rsidRPr="00C76191" w:rsidRDefault="00BC449C" w:rsidP="00C76191">
      <w:pPr>
        <w:pStyle w:val="ListParagraph"/>
        <w:numPr>
          <w:ilvl w:val="0"/>
          <w:numId w:val="2"/>
        </w:numPr>
        <w:bidi/>
        <w:jc w:val="both"/>
        <w:rPr>
          <w:b/>
          <w:bCs/>
          <w:sz w:val="24"/>
          <w:szCs w:val="24"/>
          <w:rtl/>
          <w:lang w:bidi="ar-AE"/>
        </w:rPr>
      </w:pPr>
      <w:r w:rsidRPr="00C76191">
        <w:rPr>
          <w:rFonts w:hint="cs"/>
          <w:b/>
          <w:bCs/>
          <w:sz w:val="24"/>
          <w:szCs w:val="24"/>
          <w:rtl/>
          <w:lang w:bidi="ar-AE"/>
        </w:rPr>
        <w:t xml:space="preserve">البند رقم ( </w:t>
      </w:r>
      <w:r w:rsidR="007D60E5" w:rsidRPr="00C76191">
        <w:rPr>
          <w:rFonts w:hint="cs"/>
          <w:b/>
          <w:bCs/>
          <w:sz w:val="24"/>
          <w:szCs w:val="24"/>
          <w:rtl/>
          <w:lang w:bidi="ar-AE"/>
        </w:rPr>
        <w:t xml:space="preserve">991311 </w:t>
      </w:r>
      <w:r w:rsidRPr="00C76191">
        <w:rPr>
          <w:rFonts w:hint="cs"/>
          <w:b/>
          <w:bCs/>
          <w:sz w:val="24"/>
          <w:szCs w:val="24"/>
          <w:rtl/>
          <w:lang w:bidi="ar-AE"/>
        </w:rPr>
        <w:t xml:space="preserve">) يمثل </w:t>
      </w:r>
      <w:r w:rsidR="007D60E5" w:rsidRPr="00C76191">
        <w:rPr>
          <w:rFonts w:hint="cs"/>
          <w:b/>
          <w:bCs/>
          <w:sz w:val="24"/>
          <w:szCs w:val="24"/>
          <w:rtl/>
          <w:lang w:bidi="ar-AE"/>
        </w:rPr>
        <w:t>الجزء المعفي من</w:t>
      </w:r>
      <w:r w:rsidRPr="00C76191">
        <w:rPr>
          <w:rFonts w:hint="cs"/>
          <w:b/>
          <w:bCs/>
          <w:sz w:val="24"/>
          <w:szCs w:val="24"/>
          <w:rtl/>
          <w:lang w:bidi="ar-AE"/>
        </w:rPr>
        <w:t xml:space="preserve"> مكافأة نهاية الخدمة </w:t>
      </w:r>
      <w:r w:rsidR="007D60E5" w:rsidRPr="00C76191">
        <w:rPr>
          <w:rFonts w:hint="cs"/>
          <w:b/>
          <w:bCs/>
          <w:sz w:val="24"/>
          <w:szCs w:val="24"/>
          <w:rtl/>
          <w:lang w:bidi="ar-AE"/>
        </w:rPr>
        <w:t xml:space="preserve">وفق التفصيل </w:t>
      </w:r>
      <w:r w:rsidRPr="00C76191">
        <w:rPr>
          <w:rFonts w:hint="cs"/>
          <w:b/>
          <w:bCs/>
          <w:sz w:val="24"/>
          <w:szCs w:val="24"/>
          <w:rtl/>
          <w:lang w:bidi="ar-AE"/>
        </w:rPr>
        <w:t>الآتي :</w:t>
      </w:r>
      <w:r w:rsidR="002C5B10" w:rsidRPr="00C76191">
        <w:rPr>
          <w:rFonts w:hint="cs"/>
          <w:b/>
          <w:bCs/>
          <w:sz w:val="24"/>
          <w:szCs w:val="24"/>
          <w:rtl/>
          <w:lang w:bidi="ar-AE"/>
        </w:rPr>
        <w:t>-</w:t>
      </w:r>
      <w:r w:rsidR="00C76191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Pr="00C76191">
        <w:rPr>
          <w:rFonts w:hint="cs"/>
          <w:b/>
          <w:bCs/>
          <w:sz w:val="24"/>
          <w:szCs w:val="24"/>
          <w:rtl/>
          <w:lang w:bidi="ar-AE"/>
        </w:rPr>
        <w:t xml:space="preserve">( 100% من مبلغ المكافأة ماقبل تاريخ 31/12/2009 + 50% </w:t>
      </w:r>
      <w:r w:rsidR="00F62F90" w:rsidRPr="00C76191">
        <w:rPr>
          <w:rFonts w:hint="cs"/>
          <w:b/>
          <w:bCs/>
          <w:sz w:val="24"/>
          <w:szCs w:val="24"/>
          <w:rtl/>
          <w:lang w:bidi="ar-AE"/>
        </w:rPr>
        <w:t>عن خدمات المكلف من 1/1/201</w:t>
      </w:r>
      <w:r w:rsidR="00AF28EF" w:rsidRPr="00C76191">
        <w:rPr>
          <w:rFonts w:hint="cs"/>
          <w:b/>
          <w:bCs/>
          <w:sz w:val="24"/>
          <w:szCs w:val="24"/>
          <w:rtl/>
          <w:lang w:bidi="ar-AE"/>
        </w:rPr>
        <w:t>0 ولغاية 31/12/2014 + أول  15000</w:t>
      </w:r>
      <w:r w:rsidR="00F62F90" w:rsidRPr="00C76191">
        <w:rPr>
          <w:rFonts w:hint="cs"/>
          <w:b/>
          <w:bCs/>
          <w:sz w:val="24"/>
          <w:szCs w:val="24"/>
          <w:rtl/>
          <w:lang w:bidi="ar-AE"/>
        </w:rPr>
        <w:t xml:space="preserve"> دينار عن خدمة المكلف من تاريخ 1/1/2015 </w:t>
      </w:r>
      <w:r w:rsidRPr="00C76191">
        <w:rPr>
          <w:rFonts w:hint="cs"/>
          <w:b/>
          <w:bCs/>
          <w:sz w:val="24"/>
          <w:szCs w:val="24"/>
          <w:rtl/>
          <w:lang w:bidi="ar-AE"/>
        </w:rPr>
        <w:t>)</w:t>
      </w:r>
      <w:r w:rsidR="00F62F90" w:rsidRPr="00C76191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C76191" w:rsidRPr="00C76191">
        <w:rPr>
          <w:rFonts w:hint="cs"/>
          <w:b/>
          <w:bCs/>
          <w:sz w:val="24"/>
          <w:szCs w:val="24"/>
          <w:rtl/>
          <w:lang w:bidi="ar-AE"/>
        </w:rPr>
        <w:t xml:space="preserve"> على ان </w:t>
      </w:r>
      <w:r w:rsidR="007D60E5" w:rsidRPr="00C76191">
        <w:rPr>
          <w:rFonts w:hint="cs"/>
          <w:b/>
          <w:bCs/>
          <w:sz w:val="24"/>
          <w:szCs w:val="24"/>
          <w:rtl/>
          <w:lang w:bidi="ar-AE"/>
        </w:rPr>
        <w:t>"</w:t>
      </w:r>
      <w:r w:rsidR="00F62F90" w:rsidRPr="00C76191">
        <w:rPr>
          <w:rFonts w:hint="cs"/>
          <w:b/>
          <w:bCs/>
          <w:sz w:val="24"/>
          <w:szCs w:val="24"/>
          <w:rtl/>
          <w:lang w:bidi="ar-AE"/>
        </w:rPr>
        <w:t xml:space="preserve">تفرض ضريبة مقدارها 9% عن الدخل الخاضع من مكافأة نهاية الخدمة </w:t>
      </w:r>
      <w:r w:rsidR="007D60E5" w:rsidRPr="00C76191">
        <w:rPr>
          <w:rFonts w:hint="cs"/>
          <w:b/>
          <w:bCs/>
          <w:sz w:val="24"/>
          <w:szCs w:val="24"/>
          <w:rtl/>
          <w:lang w:bidi="ar-AE"/>
        </w:rPr>
        <w:t>"</w:t>
      </w:r>
    </w:p>
    <w:p w:rsidR="007D60E5" w:rsidRPr="004E5765" w:rsidRDefault="007D60E5" w:rsidP="00AD4BEC">
      <w:pPr>
        <w:pStyle w:val="ListParagraph"/>
        <w:numPr>
          <w:ilvl w:val="0"/>
          <w:numId w:val="2"/>
        </w:numPr>
        <w:bidi/>
        <w:jc w:val="both"/>
        <w:rPr>
          <w:b/>
          <w:bCs/>
          <w:sz w:val="24"/>
          <w:szCs w:val="24"/>
          <w:rtl/>
          <w:lang w:bidi="ar-AE"/>
        </w:rPr>
      </w:pPr>
      <w:r w:rsidRPr="004E5765">
        <w:rPr>
          <w:rFonts w:hint="cs"/>
          <w:b/>
          <w:bCs/>
          <w:sz w:val="24"/>
          <w:szCs w:val="24"/>
          <w:rtl/>
          <w:lang w:bidi="ar-AE"/>
        </w:rPr>
        <w:t>البند رقم ( 995212 ) يمثل تقاص ضريبة الدخل المقتطعه عن مكافأة نهاية الخدمة .</w:t>
      </w:r>
    </w:p>
    <w:p w:rsidR="00F62F90" w:rsidRPr="004E5765" w:rsidRDefault="00872E97" w:rsidP="00AD4BEC">
      <w:pPr>
        <w:pStyle w:val="ListParagraph"/>
        <w:numPr>
          <w:ilvl w:val="0"/>
          <w:numId w:val="2"/>
        </w:numPr>
        <w:bidi/>
        <w:jc w:val="both"/>
        <w:rPr>
          <w:b/>
          <w:bCs/>
          <w:sz w:val="24"/>
          <w:szCs w:val="24"/>
          <w:lang w:bidi="ar-AE"/>
        </w:rPr>
      </w:pPr>
      <w:r w:rsidRPr="004E5765">
        <w:rPr>
          <w:rFonts w:hint="cs"/>
          <w:b/>
          <w:bCs/>
          <w:sz w:val="24"/>
          <w:szCs w:val="24"/>
          <w:rtl/>
          <w:lang w:bidi="ar-AE"/>
        </w:rPr>
        <w:t>البند رقم ( 995213 ) يمثل المساهمة الوطنية المقتطعة .</w:t>
      </w:r>
    </w:p>
    <w:p w:rsidR="004E5765" w:rsidRPr="004E5765" w:rsidRDefault="004E5765" w:rsidP="00AD4BEC">
      <w:pPr>
        <w:bidi/>
        <w:jc w:val="both"/>
        <w:rPr>
          <w:b/>
          <w:bCs/>
          <w:highlight w:val="lightGray"/>
          <w:u w:val="single"/>
          <w:rtl/>
          <w:lang w:bidi="ar-AE"/>
        </w:rPr>
      </w:pPr>
      <w:r w:rsidRPr="004E5765">
        <w:rPr>
          <w:rFonts w:hint="cs"/>
          <w:b/>
          <w:bCs/>
          <w:highlight w:val="lightGray"/>
          <w:u w:val="single"/>
          <w:rtl/>
          <w:lang w:bidi="ar-AE"/>
        </w:rPr>
        <w:t xml:space="preserve">خطوات </w:t>
      </w:r>
      <w:r w:rsidR="00DD26CE">
        <w:rPr>
          <w:rFonts w:hint="cs"/>
          <w:b/>
          <w:bCs/>
          <w:highlight w:val="lightGray"/>
          <w:u w:val="single"/>
          <w:rtl/>
          <w:lang w:bidi="ar-AE"/>
        </w:rPr>
        <w:t>إرسال</w:t>
      </w:r>
      <w:r w:rsidRPr="004E5765">
        <w:rPr>
          <w:rFonts w:hint="cs"/>
          <w:b/>
          <w:bCs/>
          <w:highlight w:val="lightGray"/>
          <w:u w:val="single"/>
          <w:rtl/>
          <w:lang w:bidi="ar-AE"/>
        </w:rPr>
        <w:t xml:space="preserve"> الإقرار :-</w:t>
      </w:r>
    </w:p>
    <w:p w:rsidR="00872E97" w:rsidRPr="00AD4BEC" w:rsidRDefault="00DD26CE" w:rsidP="00AD4BEC">
      <w:pPr>
        <w:pStyle w:val="ListParagraph"/>
        <w:numPr>
          <w:ilvl w:val="0"/>
          <w:numId w:val="4"/>
        </w:numPr>
        <w:shd w:val="clear" w:color="auto" w:fill="FFFFFF" w:themeFill="background1"/>
        <w:bidi/>
        <w:jc w:val="both"/>
        <w:rPr>
          <w:b/>
          <w:bCs/>
          <w:sz w:val="24"/>
          <w:szCs w:val="24"/>
          <w:rtl/>
          <w:lang w:bidi="ar-AE"/>
        </w:rPr>
      </w:pPr>
      <w:r w:rsidRPr="00AD4BEC">
        <w:rPr>
          <w:rFonts w:hint="cs"/>
          <w:b/>
          <w:bCs/>
          <w:sz w:val="24"/>
          <w:szCs w:val="24"/>
          <w:rtl/>
          <w:lang w:bidi="ar-AE"/>
        </w:rPr>
        <w:t>بعد تعبئة بنود الإقرار</w:t>
      </w:r>
      <w:r w:rsidR="004E5765" w:rsidRPr="00AD4BEC">
        <w:rPr>
          <w:rFonts w:hint="cs"/>
          <w:b/>
          <w:bCs/>
          <w:sz w:val="24"/>
          <w:szCs w:val="24"/>
          <w:rtl/>
          <w:lang w:bidi="ar-AE"/>
        </w:rPr>
        <w:t xml:space="preserve"> يتم الضغط على خيار (إحتساب)</w:t>
      </w:r>
      <w:r w:rsidR="00E7731B">
        <w:rPr>
          <w:rFonts w:hint="cs"/>
          <w:b/>
          <w:bCs/>
          <w:sz w:val="24"/>
          <w:szCs w:val="24"/>
          <w:rtl/>
          <w:lang w:bidi="ar-AE"/>
        </w:rPr>
        <w:t xml:space="preserve"> .</w:t>
      </w:r>
    </w:p>
    <w:p w:rsidR="004E5765" w:rsidRPr="00AD4BEC" w:rsidRDefault="004E5765" w:rsidP="00AD4BEC">
      <w:pPr>
        <w:pStyle w:val="ListParagraph"/>
        <w:numPr>
          <w:ilvl w:val="0"/>
          <w:numId w:val="4"/>
        </w:numPr>
        <w:shd w:val="clear" w:color="auto" w:fill="FFFFFF" w:themeFill="background1"/>
        <w:bidi/>
        <w:jc w:val="both"/>
        <w:rPr>
          <w:b/>
          <w:bCs/>
          <w:sz w:val="24"/>
          <w:szCs w:val="24"/>
          <w:rtl/>
          <w:lang w:bidi="ar-AE"/>
        </w:rPr>
      </w:pPr>
      <w:r w:rsidRPr="00AD4BEC">
        <w:rPr>
          <w:rFonts w:hint="cs"/>
          <w:b/>
          <w:bCs/>
          <w:sz w:val="24"/>
          <w:szCs w:val="24"/>
          <w:rtl/>
          <w:lang w:bidi="ar-AE"/>
        </w:rPr>
        <w:t xml:space="preserve">وفي حال رغبة الموظف بتعديل الإقرار يقوم بإختيار (عودة للإقرار) </w:t>
      </w:r>
      <w:r w:rsidR="00DD26CE" w:rsidRPr="00AD4BEC">
        <w:rPr>
          <w:rFonts w:hint="cs"/>
          <w:b/>
          <w:bCs/>
          <w:sz w:val="24"/>
          <w:szCs w:val="24"/>
          <w:rtl/>
          <w:lang w:bidi="ar-AE"/>
        </w:rPr>
        <w:t xml:space="preserve">وإجراء التعديل </w:t>
      </w:r>
      <w:r w:rsidRPr="00AD4BEC">
        <w:rPr>
          <w:rFonts w:hint="cs"/>
          <w:b/>
          <w:bCs/>
          <w:sz w:val="24"/>
          <w:szCs w:val="24"/>
          <w:rtl/>
          <w:lang w:bidi="ar-AE"/>
        </w:rPr>
        <w:t>ومن ثم إحتساب مرة أخرى</w:t>
      </w:r>
      <w:r w:rsidR="00E7731B">
        <w:rPr>
          <w:rFonts w:hint="cs"/>
          <w:b/>
          <w:bCs/>
          <w:sz w:val="24"/>
          <w:szCs w:val="24"/>
          <w:rtl/>
          <w:lang w:bidi="ar-AE"/>
        </w:rPr>
        <w:t xml:space="preserve"> .</w:t>
      </w:r>
    </w:p>
    <w:p w:rsidR="00DD26CE" w:rsidRPr="00AD4BEC" w:rsidRDefault="00DD26CE" w:rsidP="00AD4BEC">
      <w:pPr>
        <w:pStyle w:val="ListParagraph"/>
        <w:numPr>
          <w:ilvl w:val="0"/>
          <w:numId w:val="4"/>
        </w:numPr>
        <w:shd w:val="clear" w:color="auto" w:fill="FFFFFF" w:themeFill="background1"/>
        <w:bidi/>
        <w:jc w:val="both"/>
        <w:rPr>
          <w:b/>
          <w:bCs/>
          <w:sz w:val="24"/>
          <w:szCs w:val="24"/>
          <w:rtl/>
          <w:lang w:bidi="ar-AE"/>
        </w:rPr>
      </w:pPr>
      <w:r w:rsidRPr="00AD4BEC">
        <w:rPr>
          <w:rFonts w:hint="cs"/>
          <w:b/>
          <w:bCs/>
          <w:sz w:val="24"/>
          <w:szCs w:val="24"/>
          <w:rtl/>
          <w:lang w:bidi="ar-AE"/>
        </w:rPr>
        <w:t>في حال رغبة الموظف بتأجيل إرسال الإقرار يقوم بالضغط على خيار (الحفظ كمسودة)</w:t>
      </w:r>
      <w:r w:rsidR="00E7731B">
        <w:rPr>
          <w:rFonts w:hint="cs"/>
          <w:b/>
          <w:bCs/>
          <w:sz w:val="24"/>
          <w:szCs w:val="24"/>
          <w:rtl/>
          <w:lang w:bidi="ar-AE"/>
        </w:rPr>
        <w:t xml:space="preserve"> .</w:t>
      </w:r>
    </w:p>
    <w:p w:rsidR="004E5765" w:rsidRPr="00C76191" w:rsidRDefault="00DD26CE" w:rsidP="00AD4BEC">
      <w:pPr>
        <w:pStyle w:val="ListParagraph"/>
        <w:numPr>
          <w:ilvl w:val="0"/>
          <w:numId w:val="4"/>
        </w:numPr>
        <w:shd w:val="clear" w:color="auto" w:fill="FFFFFF" w:themeFill="background1"/>
        <w:bidi/>
        <w:jc w:val="both"/>
        <w:rPr>
          <w:b/>
          <w:bCs/>
          <w:sz w:val="28"/>
          <w:szCs w:val="28"/>
          <w:lang w:bidi="ar-AE"/>
        </w:rPr>
      </w:pPr>
      <w:r w:rsidRPr="00AD4BEC">
        <w:rPr>
          <w:rFonts w:hint="cs"/>
          <w:b/>
          <w:bCs/>
          <w:sz w:val="24"/>
          <w:szCs w:val="24"/>
          <w:rtl/>
          <w:lang w:bidi="ar-AE"/>
        </w:rPr>
        <w:t>في حال قام الموظف ب</w:t>
      </w:r>
      <w:r w:rsidR="004E5765" w:rsidRPr="00AD4BEC">
        <w:rPr>
          <w:rFonts w:hint="cs"/>
          <w:b/>
          <w:bCs/>
          <w:sz w:val="24"/>
          <w:szCs w:val="24"/>
          <w:rtl/>
          <w:lang w:bidi="ar-AE"/>
        </w:rPr>
        <w:t xml:space="preserve">مراجعة </w:t>
      </w:r>
      <w:r w:rsidRPr="00AD4BEC">
        <w:rPr>
          <w:rFonts w:hint="cs"/>
          <w:b/>
          <w:bCs/>
          <w:sz w:val="24"/>
          <w:szCs w:val="24"/>
          <w:rtl/>
          <w:lang w:bidi="ar-AE"/>
        </w:rPr>
        <w:t>بنود و</w:t>
      </w:r>
      <w:r w:rsidR="004E5765" w:rsidRPr="00AD4BEC">
        <w:rPr>
          <w:rFonts w:hint="cs"/>
          <w:b/>
          <w:bCs/>
          <w:sz w:val="24"/>
          <w:szCs w:val="24"/>
          <w:rtl/>
          <w:lang w:bidi="ar-AE"/>
        </w:rPr>
        <w:t xml:space="preserve">نتيجة </w:t>
      </w:r>
      <w:r w:rsidRPr="00AD4BEC">
        <w:rPr>
          <w:rFonts w:hint="cs"/>
          <w:b/>
          <w:bCs/>
          <w:sz w:val="24"/>
          <w:szCs w:val="24"/>
          <w:rtl/>
          <w:lang w:bidi="ar-AE"/>
        </w:rPr>
        <w:t xml:space="preserve">الإقرار </w:t>
      </w:r>
      <w:r w:rsidR="004E5765" w:rsidRPr="00AD4BEC">
        <w:rPr>
          <w:rFonts w:hint="cs"/>
          <w:b/>
          <w:bCs/>
          <w:sz w:val="24"/>
          <w:szCs w:val="24"/>
          <w:rtl/>
          <w:lang w:bidi="ar-AE"/>
        </w:rPr>
        <w:t xml:space="preserve">والتأكد منها </w:t>
      </w:r>
      <w:r w:rsidRPr="00AD4BEC">
        <w:rPr>
          <w:rFonts w:hint="cs"/>
          <w:b/>
          <w:bCs/>
          <w:sz w:val="24"/>
          <w:szCs w:val="24"/>
          <w:rtl/>
          <w:lang w:bidi="ar-AE"/>
        </w:rPr>
        <w:t>يقوم</w:t>
      </w:r>
      <w:r w:rsidR="004E5765" w:rsidRPr="00AD4BEC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Pr="00AD4BEC">
        <w:rPr>
          <w:rFonts w:hint="cs"/>
          <w:b/>
          <w:bCs/>
          <w:sz w:val="24"/>
          <w:szCs w:val="24"/>
          <w:rtl/>
          <w:lang w:bidi="ar-AE"/>
        </w:rPr>
        <w:t>ب</w:t>
      </w:r>
      <w:r w:rsidR="004E5765" w:rsidRPr="00AD4BEC">
        <w:rPr>
          <w:rFonts w:hint="cs"/>
          <w:b/>
          <w:bCs/>
          <w:sz w:val="24"/>
          <w:szCs w:val="24"/>
          <w:rtl/>
          <w:lang w:bidi="ar-AE"/>
        </w:rPr>
        <w:t>إرفاق جميع المعززات اللازمة والضغط على خيار (إرسال)</w:t>
      </w:r>
      <w:r w:rsidR="00AD4BEC">
        <w:rPr>
          <w:rFonts w:hint="cs"/>
          <w:b/>
          <w:bCs/>
          <w:sz w:val="24"/>
          <w:szCs w:val="24"/>
          <w:rtl/>
          <w:lang w:bidi="ar-AE"/>
        </w:rPr>
        <w:t xml:space="preserve"> ومن ثم موافق </w:t>
      </w:r>
      <w:r w:rsidR="00E7731B">
        <w:rPr>
          <w:b/>
          <w:bCs/>
          <w:sz w:val="24"/>
          <w:szCs w:val="24"/>
          <w:lang w:bidi="ar-AE"/>
        </w:rPr>
        <w:t>.</w:t>
      </w:r>
    </w:p>
    <w:p w:rsidR="00C76191" w:rsidRPr="00C76191" w:rsidRDefault="00C76191" w:rsidP="00C76191">
      <w:pPr>
        <w:pStyle w:val="ListParagraph"/>
        <w:numPr>
          <w:ilvl w:val="0"/>
          <w:numId w:val="4"/>
        </w:numPr>
        <w:shd w:val="clear" w:color="auto" w:fill="FFFFFF" w:themeFill="background1"/>
        <w:bidi/>
        <w:jc w:val="both"/>
        <w:rPr>
          <w:b/>
          <w:bCs/>
          <w:sz w:val="28"/>
          <w:szCs w:val="28"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>التأكد من عبارة تم ارسال الاقرار بنجاح</w:t>
      </w:r>
      <w:r w:rsidR="00E7731B">
        <w:rPr>
          <w:b/>
          <w:bCs/>
          <w:sz w:val="24"/>
          <w:szCs w:val="24"/>
          <w:lang w:bidi="ar-AE"/>
        </w:rPr>
        <w:t xml:space="preserve">  </w:t>
      </w:r>
      <w:r w:rsidR="00E7731B">
        <w:rPr>
          <w:rFonts w:hint="cs"/>
          <w:b/>
          <w:bCs/>
          <w:sz w:val="24"/>
          <w:szCs w:val="24"/>
          <w:rtl/>
          <w:lang w:bidi="ar-AE"/>
        </w:rPr>
        <w:t>.</w:t>
      </w:r>
    </w:p>
    <w:p w:rsidR="00C76191" w:rsidRDefault="00C76191" w:rsidP="00C76191">
      <w:pPr>
        <w:pStyle w:val="ListParagraph"/>
        <w:numPr>
          <w:ilvl w:val="0"/>
          <w:numId w:val="4"/>
        </w:numPr>
        <w:shd w:val="clear" w:color="auto" w:fill="FFFFFF" w:themeFill="background1"/>
        <w:bidi/>
        <w:jc w:val="both"/>
        <w:rPr>
          <w:b/>
          <w:bCs/>
          <w:sz w:val="28"/>
          <w:szCs w:val="28"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 xml:space="preserve">سيصلك رسالة نصية </w:t>
      </w:r>
      <w:r>
        <w:rPr>
          <w:b/>
          <w:bCs/>
          <w:sz w:val="24"/>
          <w:szCs w:val="24"/>
          <w:lang w:bidi="ar-AE"/>
        </w:rPr>
        <w:t>SMS</w:t>
      </w:r>
      <w:r>
        <w:rPr>
          <w:rFonts w:hint="cs"/>
          <w:b/>
          <w:bCs/>
          <w:sz w:val="24"/>
          <w:szCs w:val="24"/>
          <w:rtl/>
          <w:lang w:bidi="ar-AE"/>
        </w:rPr>
        <w:t xml:space="preserve"> على هاتفك المتنقل تفيد بانك قد قمت بإرسال الاقرار</w:t>
      </w:r>
      <w:r w:rsidR="009D283D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A15AF2">
        <w:rPr>
          <w:rFonts w:hint="cs"/>
          <w:b/>
          <w:bCs/>
          <w:sz w:val="28"/>
          <w:szCs w:val="28"/>
          <w:rtl/>
          <w:lang w:bidi="ar-AE"/>
        </w:rPr>
        <w:t>.</w:t>
      </w:r>
    </w:p>
    <w:p w:rsidR="00C76191" w:rsidRPr="00C76191" w:rsidRDefault="00C76191" w:rsidP="00A15AF2">
      <w:pPr>
        <w:pStyle w:val="ListParagraph"/>
        <w:numPr>
          <w:ilvl w:val="0"/>
          <w:numId w:val="4"/>
        </w:numPr>
        <w:shd w:val="clear" w:color="auto" w:fill="FFFFFF" w:themeFill="background1"/>
        <w:bidi/>
        <w:jc w:val="both"/>
        <w:rPr>
          <w:b/>
          <w:bCs/>
          <w:sz w:val="24"/>
          <w:szCs w:val="24"/>
          <w:lang w:bidi="ar-AE"/>
        </w:rPr>
      </w:pPr>
      <w:r w:rsidRPr="00C76191">
        <w:rPr>
          <w:rFonts w:hint="cs"/>
          <w:b/>
          <w:bCs/>
          <w:sz w:val="24"/>
          <w:szCs w:val="24"/>
          <w:rtl/>
          <w:lang w:bidi="ar-AE"/>
        </w:rPr>
        <w:t xml:space="preserve">وفي </w:t>
      </w:r>
      <w:r w:rsidR="00A15AF2">
        <w:rPr>
          <w:rFonts w:hint="cs"/>
          <w:b/>
          <w:bCs/>
          <w:sz w:val="24"/>
          <w:szCs w:val="24"/>
          <w:rtl/>
          <w:lang w:bidi="ar-AE"/>
        </w:rPr>
        <w:t xml:space="preserve">قائمة </w:t>
      </w:r>
      <w:r w:rsidRPr="00C76191">
        <w:rPr>
          <w:rFonts w:hint="cs"/>
          <w:b/>
          <w:bCs/>
          <w:sz w:val="24"/>
          <w:szCs w:val="24"/>
          <w:rtl/>
          <w:lang w:bidi="ar-AE"/>
        </w:rPr>
        <w:t>طلباتي</w:t>
      </w:r>
      <w:r w:rsidR="00A15AF2">
        <w:rPr>
          <w:rFonts w:hint="cs"/>
          <w:b/>
          <w:bCs/>
          <w:sz w:val="24"/>
          <w:szCs w:val="24"/>
          <w:rtl/>
          <w:lang w:bidi="ar-AE"/>
        </w:rPr>
        <w:t xml:space="preserve"> في </w:t>
      </w:r>
      <w:r w:rsidR="00A15AF2" w:rsidRPr="00C76191">
        <w:rPr>
          <w:rFonts w:hint="cs"/>
          <w:b/>
          <w:bCs/>
          <w:sz w:val="24"/>
          <w:szCs w:val="24"/>
          <w:rtl/>
          <w:lang w:bidi="ar-AE"/>
        </w:rPr>
        <w:t>خانة</w:t>
      </w:r>
      <w:r w:rsidRPr="00C76191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A15AF2">
        <w:rPr>
          <w:rFonts w:hint="cs"/>
          <w:b/>
          <w:bCs/>
          <w:sz w:val="24"/>
          <w:szCs w:val="24"/>
          <w:rtl/>
          <w:lang w:bidi="ar-AE"/>
        </w:rPr>
        <w:t xml:space="preserve">الحالة </w:t>
      </w:r>
      <w:r w:rsidRPr="00C76191">
        <w:rPr>
          <w:rFonts w:hint="cs"/>
          <w:b/>
          <w:bCs/>
          <w:sz w:val="24"/>
          <w:szCs w:val="24"/>
          <w:rtl/>
          <w:lang w:bidi="ar-AE"/>
        </w:rPr>
        <w:t>على نظام الحكومة الالكترونية سيظهر</w:t>
      </w:r>
      <w:r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Pr="00C76191">
        <w:rPr>
          <w:rFonts w:hint="cs"/>
          <w:b/>
          <w:bCs/>
          <w:sz w:val="24"/>
          <w:szCs w:val="24"/>
          <w:rtl/>
          <w:lang w:bidi="ar-AE"/>
        </w:rPr>
        <w:t>لك ارسال حالة</w:t>
      </w:r>
      <w:r w:rsidR="009D283D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bookmarkStart w:id="0" w:name="_GoBack"/>
      <w:bookmarkEnd w:id="0"/>
      <w:r w:rsidR="00A15AF2">
        <w:rPr>
          <w:rFonts w:hint="cs"/>
          <w:b/>
          <w:bCs/>
          <w:sz w:val="24"/>
          <w:szCs w:val="24"/>
          <w:rtl/>
          <w:lang w:bidi="ar-AE"/>
        </w:rPr>
        <w:t>.</w:t>
      </w:r>
    </w:p>
    <w:sectPr w:rsidR="00C76191" w:rsidRPr="00C76191" w:rsidSect="00C76191">
      <w:pgSz w:w="12240" w:h="15840" w:code="1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A9C"/>
    <w:multiLevelType w:val="hybridMultilevel"/>
    <w:tmpl w:val="5314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B35B7"/>
    <w:multiLevelType w:val="hybridMultilevel"/>
    <w:tmpl w:val="C58C27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E3735"/>
    <w:multiLevelType w:val="hybridMultilevel"/>
    <w:tmpl w:val="5D40F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C3D42"/>
    <w:multiLevelType w:val="hybridMultilevel"/>
    <w:tmpl w:val="ACCA5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82"/>
    <w:rsid w:val="00236CC9"/>
    <w:rsid w:val="00261F83"/>
    <w:rsid w:val="002C5B10"/>
    <w:rsid w:val="00305CF9"/>
    <w:rsid w:val="00383682"/>
    <w:rsid w:val="004E34B0"/>
    <w:rsid w:val="004E5765"/>
    <w:rsid w:val="00543F85"/>
    <w:rsid w:val="005A44C9"/>
    <w:rsid w:val="005E4942"/>
    <w:rsid w:val="00692D84"/>
    <w:rsid w:val="00760E83"/>
    <w:rsid w:val="00784AEF"/>
    <w:rsid w:val="007D60E5"/>
    <w:rsid w:val="007F1A16"/>
    <w:rsid w:val="00872E97"/>
    <w:rsid w:val="009D283D"/>
    <w:rsid w:val="00A15AF2"/>
    <w:rsid w:val="00A270F2"/>
    <w:rsid w:val="00AD4BEC"/>
    <w:rsid w:val="00AF28EF"/>
    <w:rsid w:val="00B222A2"/>
    <w:rsid w:val="00BC449C"/>
    <w:rsid w:val="00C30EFA"/>
    <w:rsid w:val="00C7423E"/>
    <w:rsid w:val="00C76191"/>
    <w:rsid w:val="00D449D7"/>
    <w:rsid w:val="00D52790"/>
    <w:rsid w:val="00DD26CE"/>
    <w:rsid w:val="00E7731B"/>
    <w:rsid w:val="00F62F90"/>
    <w:rsid w:val="00F6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3D516"/>
  <w15:docId w15:val="{E8630412-9BC7-4EB0-BA65-F5BDC350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682"/>
    <w:pPr>
      <w:ind w:left="720"/>
      <w:contextualSpacing/>
    </w:pPr>
  </w:style>
  <w:style w:type="table" w:styleId="TableGrid">
    <w:name w:val="Table Grid"/>
    <w:basedOn w:val="TableNormal"/>
    <w:uiPriority w:val="39"/>
    <w:rsid w:val="00D44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601A4-95A0-40C8-ACFF-B88E505A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Ashraf Arabyat</dc:creator>
  <cp:keywords/>
  <dc:description/>
  <cp:lastModifiedBy>Ashraf Arabyat</cp:lastModifiedBy>
  <cp:revision>28</cp:revision>
  <cp:lastPrinted>2022-08-10T08:33:00Z</cp:lastPrinted>
  <dcterms:created xsi:type="dcterms:W3CDTF">2022-08-10T06:48:00Z</dcterms:created>
  <dcterms:modified xsi:type="dcterms:W3CDTF">2022-08-10T12:19:00Z</dcterms:modified>
</cp:coreProperties>
</file>